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C043C" w14:textId="77777777" w:rsidR="002E3F14" w:rsidRPr="002E3F14" w:rsidRDefault="002E3F14" w:rsidP="002E3F14">
      <w:pPr>
        <w:jc w:val="center"/>
        <w:rPr>
          <w:b/>
          <w:sz w:val="32"/>
          <w:lang w:val="en-GB"/>
        </w:rPr>
      </w:pPr>
      <w:r w:rsidRPr="002E3F14">
        <w:rPr>
          <w:b/>
          <w:sz w:val="32"/>
          <w:lang w:val="en-GB"/>
        </w:rPr>
        <w:t>IV.2.2. Inclusion of talented young scientists in research teams – research visits for students and doctoral students from foreign universities</w:t>
      </w:r>
    </w:p>
    <w:p w14:paraId="148CEA13" w14:textId="77777777" w:rsidR="002E3F14" w:rsidRPr="002E3F14" w:rsidRDefault="002E3F14" w:rsidP="002E3F14">
      <w:pPr>
        <w:jc w:val="center"/>
        <w:rPr>
          <w:b/>
          <w:sz w:val="32"/>
          <w:lang w:val="en-GB"/>
        </w:rPr>
      </w:pPr>
      <w:r w:rsidRPr="002E3F14">
        <w:rPr>
          <w:b/>
          <w:sz w:val="32"/>
          <w:lang w:val="en-GB"/>
        </w:rPr>
        <w:t>Rules for financing research visits for students and doctoral students from foreign universities</w:t>
      </w:r>
    </w:p>
    <w:p w14:paraId="7CFC921F" w14:textId="77777777" w:rsidR="002E3F14" w:rsidRPr="002E3F14" w:rsidRDefault="002E3F14" w:rsidP="002E3F14">
      <w:pPr>
        <w:rPr>
          <w:lang w:val="en-GB"/>
        </w:rPr>
      </w:pPr>
      <w:r w:rsidRPr="002E3F14">
        <w:rPr>
          <w:lang w:val="en-GB"/>
        </w:rPr>
        <w:t>1) Objective</w:t>
      </w:r>
    </w:p>
    <w:p w14:paraId="165DA292" w14:textId="12CD31D1" w:rsidR="002E3F14" w:rsidRPr="002E3F14" w:rsidRDefault="002E3F14" w:rsidP="002E3F14">
      <w:pPr>
        <w:rPr>
          <w:lang w:val="en-GB"/>
        </w:rPr>
      </w:pPr>
      <w:r w:rsidRPr="002E3F14">
        <w:rPr>
          <w:lang w:val="en-GB"/>
        </w:rPr>
        <w:t>Co-financing of visits of students and doctoral students from partner universities and other foreign universities to the University of Warsaw for research purposes, who have been qualified for the Research Visits Program at the University of Warsaw for students and doctoral students from foreign universities, hereinafter referred to as the “Arrivals Progr</w:t>
      </w:r>
      <w:r>
        <w:rPr>
          <w:lang w:val="en-GB"/>
        </w:rPr>
        <w:t>am”; this is a pilot programme.</w:t>
      </w:r>
    </w:p>
    <w:p w14:paraId="213275A3" w14:textId="77777777" w:rsidR="002E3F14" w:rsidRPr="002E3F14" w:rsidRDefault="002E3F14" w:rsidP="002E3F14">
      <w:pPr>
        <w:rPr>
          <w:lang w:val="en-GB"/>
        </w:rPr>
      </w:pPr>
      <w:r w:rsidRPr="002E3F14">
        <w:rPr>
          <w:lang w:val="en-GB"/>
        </w:rPr>
        <w:t>2) Addressees and scope</w:t>
      </w:r>
    </w:p>
    <w:p w14:paraId="27D7AED8" w14:textId="77777777" w:rsidR="002E3F14" w:rsidRPr="002E3F14" w:rsidRDefault="002E3F14" w:rsidP="002E3F14">
      <w:pPr>
        <w:rPr>
          <w:lang w:val="en-GB"/>
        </w:rPr>
      </w:pPr>
      <w:r w:rsidRPr="002E3F14">
        <w:rPr>
          <w:lang w:val="en-GB"/>
        </w:rPr>
        <w:t>Beneficiaries of the funding may only be students and doctoral students from partner universities and other foreign universities who have qualified for the Arrivals Programme.</w:t>
      </w:r>
    </w:p>
    <w:p w14:paraId="185B4E47" w14:textId="77777777" w:rsidR="002E3F14" w:rsidRPr="002E3F14" w:rsidRDefault="002E3F14" w:rsidP="002E3F14">
      <w:pPr>
        <w:rPr>
          <w:lang w:val="en-GB"/>
        </w:rPr>
      </w:pPr>
      <w:r w:rsidRPr="002E3F14">
        <w:rPr>
          <w:lang w:val="en-GB"/>
        </w:rPr>
        <w:t>The condition for qualifying candidates is the submission of a complete competition application to the International Relations Office (BWZ):</w:t>
      </w:r>
    </w:p>
    <w:p w14:paraId="01D6C5A9" w14:textId="77777777" w:rsidR="002E3F14" w:rsidRPr="002E3F14" w:rsidRDefault="002E3F14" w:rsidP="002E3F14">
      <w:pPr>
        <w:rPr>
          <w:lang w:val="en-GB"/>
        </w:rPr>
      </w:pPr>
      <w:r w:rsidRPr="002E3F14">
        <w:rPr>
          <w:lang w:val="en-GB"/>
        </w:rPr>
        <w:t>application form (Annex 1);</w:t>
      </w:r>
    </w:p>
    <w:p w14:paraId="2769A7A5" w14:textId="6EF1EC52" w:rsidR="002E3F14" w:rsidRPr="002E3F14" w:rsidRDefault="002E3F14" w:rsidP="002E3F14">
      <w:pPr>
        <w:rPr>
          <w:lang w:val="en-GB"/>
        </w:rPr>
      </w:pPr>
      <w:r w:rsidRPr="002E3F14">
        <w:rPr>
          <w:lang w:val="en-GB"/>
        </w:rPr>
        <w:t xml:space="preserve">a research plan, approved by a research supervisor from the </w:t>
      </w:r>
      <w:r w:rsidR="00936239" w:rsidRPr="00936239">
        <w:rPr>
          <w:lang w:val="en-GB"/>
        </w:rPr>
        <w:t xml:space="preserve">University of Warsaw </w:t>
      </w:r>
      <w:r w:rsidRPr="002E3F14">
        <w:rPr>
          <w:lang w:val="en-GB"/>
        </w:rPr>
        <w:t>(Annex 2);</w:t>
      </w:r>
    </w:p>
    <w:p w14:paraId="1B512C77" w14:textId="77777777" w:rsidR="002E3F14" w:rsidRPr="002E3F14" w:rsidRDefault="002E3F14" w:rsidP="002E3F14">
      <w:pPr>
        <w:rPr>
          <w:lang w:val="en-GB"/>
        </w:rPr>
      </w:pPr>
      <w:r w:rsidRPr="002E3F14">
        <w:rPr>
          <w:lang w:val="en-GB"/>
        </w:rPr>
        <w:t>in the case of beneficiaries from partner universities: an official nomination;</w:t>
      </w:r>
    </w:p>
    <w:p w14:paraId="142396F4" w14:textId="77777777" w:rsidR="002E3F14" w:rsidRPr="002E3F14" w:rsidRDefault="002E3F14" w:rsidP="002E3F14">
      <w:pPr>
        <w:rPr>
          <w:lang w:val="en-GB"/>
        </w:rPr>
      </w:pPr>
      <w:r w:rsidRPr="002E3F14">
        <w:rPr>
          <w:lang w:val="en-GB"/>
        </w:rPr>
        <w:t>in the case of beneficiaries from other foreign universities: a letter of recommendation from the home university;</w:t>
      </w:r>
    </w:p>
    <w:p w14:paraId="3462D5F0" w14:textId="77777777" w:rsidR="002E3F14" w:rsidRPr="002E3F14" w:rsidRDefault="002E3F14" w:rsidP="002E3F14">
      <w:pPr>
        <w:rPr>
          <w:lang w:val="en-GB"/>
        </w:rPr>
      </w:pPr>
      <w:r w:rsidRPr="002E3F14">
        <w:rPr>
          <w:lang w:val="en-GB"/>
        </w:rPr>
        <w:t>a scientific curriculum vitae in the case of doctoral students;</w:t>
      </w:r>
    </w:p>
    <w:p w14:paraId="4EB6185D" w14:textId="77777777" w:rsidR="002E3F14" w:rsidRPr="002E3F14" w:rsidRDefault="002E3F14" w:rsidP="002E3F14">
      <w:pPr>
        <w:rPr>
          <w:lang w:val="en-GB"/>
        </w:rPr>
      </w:pPr>
      <w:r w:rsidRPr="002E3F14">
        <w:rPr>
          <w:lang w:val="en-GB"/>
        </w:rPr>
        <w:t>a declaration concerning the lack of double funding.</w:t>
      </w:r>
    </w:p>
    <w:p w14:paraId="3AD18482" w14:textId="77777777" w:rsidR="002E3F14" w:rsidRPr="002E3F14" w:rsidRDefault="002E3F14" w:rsidP="002E3F14">
      <w:pPr>
        <w:rPr>
          <w:lang w:val="en-GB"/>
        </w:rPr>
      </w:pPr>
      <w:r w:rsidRPr="002E3F14">
        <w:rPr>
          <w:lang w:val="en-GB"/>
        </w:rPr>
        <w:t>Duration of research visits: from 2 to 5 months.</w:t>
      </w:r>
    </w:p>
    <w:p w14:paraId="12D553C9" w14:textId="77777777" w:rsidR="002E3F14" w:rsidRPr="002E3F14" w:rsidRDefault="002E3F14" w:rsidP="002E3F14">
      <w:pPr>
        <w:rPr>
          <w:lang w:val="en-GB"/>
        </w:rPr>
      </w:pPr>
      <w:r w:rsidRPr="002E3F14">
        <w:rPr>
          <w:lang w:val="en-GB"/>
        </w:rPr>
        <w:t>The date of arrival for the implementation of research tasks must be approved by the host teaching unit of the University of Warsaw and may be subject to postponements.</w:t>
      </w:r>
    </w:p>
    <w:p w14:paraId="1CFBF05B" w14:textId="77777777" w:rsidR="002E3F14" w:rsidRPr="002E3F14" w:rsidRDefault="002E3F14" w:rsidP="002E3F14">
      <w:pPr>
        <w:rPr>
          <w:lang w:val="en-GB"/>
        </w:rPr>
      </w:pPr>
      <w:r w:rsidRPr="002E3F14">
        <w:rPr>
          <w:lang w:val="en-GB"/>
        </w:rPr>
        <w:t>Dates for submitting applications: 25 July 2023 – 30 June 2024 or until the funds are exhausted.</w:t>
      </w:r>
    </w:p>
    <w:p w14:paraId="08409E97" w14:textId="77777777" w:rsidR="002E3F14" w:rsidRPr="002E3F14" w:rsidRDefault="002E3F14" w:rsidP="002E3F14">
      <w:pPr>
        <w:rPr>
          <w:lang w:val="en-GB"/>
        </w:rPr>
      </w:pPr>
      <w:r w:rsidRPr="002E3F14">
        <w:rPr>
          <w:lang w:val="en-GB"/>
        </w:rPr>
        <w:t>Deadline for visits: by 30 September 2024.</w:t>
      </w:r>
    </w:p>
    <w:p w14:paraId="3210BDEE" w14:textId="77777777" w:rsidR="002E3F14" w:rsidRPr="002E3F14" w:rsidRDefault="002E3F14" w:rsidP="002E3F14">
      <w:pPr>
        <w:rPr>
          <w:lang w:val="en-GB"/>
        </w:rPr>
      </w:pPr>
      <w:r w:rsidRPr="002E3F14">
        <w:rPr>
          <w:lang w:val="en-GB"/>
        </w:rPr>
        <w:t>3) Anticipated outcomes</w:t>
      </w:r>
    </w:p>
    <w:p w14:paraId="47531A58" w14:textId="77777777" w:rsidR="002E3F14" w:rsidRPr="002E3F14" w:rsidRDefault="002E3F14" w:rsidP="002E3F14">
      <w:pPr>
        <w:rPr>
          <w:lang w:val="en-GB"/>
        </w:rPr>
      </w:pPr>
      <w:r w:rsidRPr="002E3F14">
        <w:rPr>
          <w:lang w:val="en-GB"/>
        </w:rPr>
        <w:lastRenderedPageBreak/>
        <w:t>The main objective is to increase the research potential of UW and to strengthen cooperation between the University of Warsaw and partner universities and other foreign universities, through a Programme of research visits at the University of Warsaw for students and doctoral students.</w:t>
      </w:r>
    </w:p>
    <w:p w14:paraId="5A26755D" w14:textId="77777777" w:rsidR="002E3F14" w:rsidRPr="002E3F14" w:rsidRDefault="002E3F14" w:rsidP="002E3F14">
      <w:pPr>
        <w:rPr>
          <w:lang w:val="en-GB"/>
        </w:rPr>
      </w:pPr>
      <w:r w:rsidRPr="002E3F14">
        <w:rPr>
          <w:lang w:val="en-GB"/>
        </w:rPr>
        <w:t>Participants in the Arrival Programme will be included in research projects at the University of Warsaw, which will allow for the initiation and development of realistic cooperation programmes between the University of Warsaw and partner institutions, and other foreign research centres.</w:t>
      </w:r>
    </w:p>
    <w:p w14:paraId="107150FF" w14:textId="77777777" w:rsidR="002E3F14" w:rsidRPr="002E3F14" w:rsidRDefault="002E3F14" w:rsidP="002E3F14">
      <w:pPr>
        <w:rPr>
          <w:lang w:val="en-GB"/>
        </w:rPr>
      </w:pPr>
      <w:r w:rsidRPr="002E3F14">
        <w:rPr>
          <w:lang w:val="en-GB"/>
        </w:rPr>
        <w:t>4) The object of funding</w:t>
      </w:r>
    </w:p>
    <w:p w14:paraId="663D02CD" w14:textId="77777777" w:rsidR="002E3F14" w:rsidRPr="002E3F14" w:rsidRDefault="002E3F14" w:rsidP="002E3F14">
      <w:pPr>
        <w:rPr>
          <w:lang w:val="en-GB"/>
        </w:rPr>
      </w:pPr>
      <w:r w:rsidRPr="002E3F14">
        <w:rPr>
          <w:lang w:val="en-GB"/>
        </w:rPr>
        <w:t>Qualified participants of the Arrivals Programme may apply for funding for a stay at the University of Warsaw – students in the amount of 50 PLN per day (up to 1,500 PLN per month), and doctoral students in the amount of 70 PLN per day (up to 2,100 PLN per month) for the entire period of the stay.</w:t>
      </w:r>
    </w:p>
    <w:p w14:paraId="4DA16D34" w14:textId="77777777" w:rsidR="002E3F14" w:rsidRPr="002E3F14" w:rsidRDefault="002E3F14" w:rsidP="002E3F14">
      <w:pPr>
        <w:rPr>
          <w:lang w:val="en-GB"/>
        </w:rPr>
      </w:pPr>
      <w:r w:rsidRPr="002E3F14">
        <w:rPr>
          <w:lang w:val="en-GB"/>
        </w:rPr>
        <w:t>Qualified participants in the Arrivals Programme may apply for a one-time subsidy for travel costs in the amount consistent with the EU distance calculator in PLN, calculated on the basis of the average exchange rate of the National Bank of Poland on the date of the announcement of the competition, but not higher than the actual documented travel costs:</w:t>
      </w:r>
    </w:p>
    <w:p w14:paraId="44E751F6" w14:textId="77777777" w:rsidR="002E3F14" w:rsidRPr="002E3F14" w:rsidRDefault="002E3F14" w:rsidP="002E3F14">
      <w:pPr>
        <w:rPr>
          <w:lang w:val="en-GB"/>
        </w:rPr>
      </w:pPr>
      <w:r w:rsidRPr="002E3F14">
        <w:rPr>
          <w:lang w:val="en-GB"/>
        </w:rPr>
        <w:t>distance from 10 to 99 km – lump sum travel allowance: € 23,</w:t>
      </w:r>
    </w:p>
    <w:p w14:paraId="79401DAF" w14:textId="77777777" w:rsidR="002E3F14" w:rsidRPr="002E3F14" w:rsidRDefault="002E3F14" w:rsidP="002E3F14">
      <w:pPr>
        <w:rPr>
          <w:lang w:val="en-GB"/>
        </w:rPr>
      </w:pPr>
      <w:r w:rsidRPr="002E3F14">
        <w:rPr>
          <w:lang w:val="en-GB"/>
        </w:rPr>
        <w:t>distance from 100 and 499 km – lump sum travel allowance: € 180,</w:t>
      </w:r>
    </w:p>
    <w:p w14:paraId="2BBFC22E" w14:textId="77777777" w:rsidR="002E3F14" w:rsidRPr="002E3F14" w:rsidRDefault="002E3F14" w:rsidP="002E3F14">
      <w:pPr>
        <w:rPr>
          <w:lang w:val="en-GB"/>
        </w:rPr>
      </w:pPr>
      <w:r w:rsidRPr="002E3F14">
        <w:rPr>
          <w:lang w:val="en-GB"/>
        </w:rPr>
        <w:t>distance from 500 to 1999 km – lump sum travel allowance: € 275,</w:t>
      </w:r>
    </w:p>
    <w:p w14:paraId="76891F12" w14:textId="77777777" w:rsidR="002E3F14" w:rsidRPr="002E3F14" w:rsidRDefault="002E3F14" w:rsidP="002E3F14">
      <w:pPr>
        <w:rPr>
          <w:lang w:val="en-GB"/>
        </w:rPr>
      </w:pPr>
      <w:r w:rsidRPr="002E3F14">
        <w:rPr>
          <w:lang w:val="en-GB"/>
        </w:rPr>
        <w:t>distance from 2000 to 2999 km – lump sum travel allowance: € 360,</w:t>
      </w:r>
    </w:p>
    <w:p w14:paraId="0579F6DF" w14:textId="77777777" w:rsidR="002E3F14" w:rsidRPr="002E3F14" w:rsidRDefault="002E3F14" w:rsidP="002E3F14">
      <w:pPr>
        <w:rPr>
          <w:lang w:val="en-GB"/>
        </w:rPr>
      </w:pPr>
      <w:r w:rsidRPr="002E3F14">
        <w:rPr>
          <w:lang w:val="en-GB"/>
        </w:rPr>
        <w:t>distance from 3000 to 3999 km – lump sum travel allowance: € 530,</w:t>
      </w:r>
    </w:p>
    <w:p w14:paraId="330069E8" w14:textId="77777777" w:rsidR="002E3F14" w:rsidRPr="002E3F14" w:rsidRDefault="002E3F14" w:rsidP="002E3F14">
      <w:pPr>
        <w:rPr>
          <w:lang w:val="en-GB"/>
        </w:rPr>
      </w:pPr>
      <w:r w:rsidRPr="002E3F14">
        <w:rPr>
          <w:lang w:val="en-GB"/>
        </w:rPr>
        <w:t>distance from 4000 to 7999 km – lump sum travel allowance: € 820,</w:t>
      </w:r>
    </w:p>
    <w:p w14:paraId="31EBB928" w14:textId="77777777" w:rsidR="002E3F14" w:rsidRPr="002E3F14" w:rsidRDefault="002E3F14" w:rsidP="002E3F14">
      <w:pPr>
        <w:rPr>
          <w:lang w:val="en-GB"/>
        </w:rPr>
      </w:pPr>
      <w:r w:rsidRPr="002E3F14">
        <w:rPr>
          <w:lang w:val="en-GB"/>
        </w:rPr>
        <w:t>distance 8000 km or more – lump sum travel allowance: € 1,500.</w:t>
      </w:r>
    </w:p>
    <w:p w14:paraId="3B2AFF22" w14:textId="77777777" w:rsidR="002E3F14" w:rsidRPr="002E3F14" w:rsidRDefault="002E3F14" w:rsidP="002E3F14">
      <w:pPr>
        <w:rPr>
          <w:lang w:val="en-GB"/>
        </w:rPr>
      </w:pPr>
      <w:r w:rsidRPr="002E3F14">
        <w:rPr>
          <w:lang w:val="en-GB"/>
        </w:rPr>
        <w:t>The funding for the stay and travel will be paid provided that the costs of the stay and travel are not covered by the Arrival Programme participant’s home university, an external institution, or from another source.</w:t>
      </w:r>
    </w:p>
    <w:p w14:paraId="7B8A9FC1" w14:textId="77777777" w:rsidR="002E3F14" w:rsidRPr="002E3F14" w:rsidRDefault="002E3F14" w:rsidP="002E3F14">
      <w:pPr>
        <w:rPr>
          <w:lang w:val="en-GB"/>
        </w:rPr>
      </w:pPr>
      <w:r w:rsidRPr="002E3F14">
        <w:rPr>
          <w:lang w:val="en-GB"/>
        </w:rPr>
        <w:t>If the visit is interrupted during its implementation, financial support shall be suspended.</w:t>
      </w:r>
    </w:p>
    <w:p w14:paraId="101F983E" w14:textId="77777777" w:rsidR="002E3F14" w:rsidRPr="002E3F14" w:rsidRDefault="002E3F14" w:rsidP="002E3F14">
      <w:pPr>
        <w:rPr>
          <w:lang w:val="en-GB"/>
        </w:rPr>
      </w:pPr>
      <w:r w:rsidRPr="002E3F14">
        <w:rPr>
          <w:lang w:val="en-GB"/>
        </w:rPr>
        <w:t>If the visit is shortened, funding for the stay may be paid according to daily rates: students – up to 50 PLN per day of the stay; doctoral students – up to 70 PLN per day of the stay, and only for the actual duration of the stay; unused funds are refundable.</w:t>
      </w:r>
    </w:p>
    <w:p w14:paraId="27203002" w14:textId="77777777" w:rsidR="002E3F14" w:rsidRPr="002E3F14" w:rsidRDefault="002E3F14" w:rsidP="002E3F14">
      <w:pPr>
        <w:rPr>
          <w:lang w:val="en-GB"/>
        </w:rPr>
      </w:pPr>
      <w:r w:rsidRPr="002E3F14">
        <w:rPr>
          <w:lang w:val="en-GB"/>
        </w:rPr>
        <w:t>5) Recruitment rules and the circulation of documents</w:t>
      </w:r>
    </w:p>
    <w:p w14:paraId="18DE7A05" w14:textId="77777777" w:rsidR="002E3F14" w:rsidRPr="002E3F14" w:rsidRDefault="002E3F14" w:rsidP="002E3F14">
      <w:pPr>
        <w:rPr>
          <w:lang w:val="en-GB"/>
        </w:rPr>
      </w:pPr>
      <w:r w:rsidRPr="002E3F14">
        <w:rPr>
          <w:lang w:val="en-GB"/>
        </w:rPr>
        <w:t>Beneficiaries submit applications to the International Relations Office (BWZ) using the following email address: przyjazdy.IDUB.BWZ@uw.edu.pl.</w:t>
      </w:r>
    </w:p>
    <w:p w14:paraId="29FBDB9F" w14:textId="77777777" w:rsidR="002E3F14" w:rsidRPr="002E3F14" w:rsidRDefault="002E3F14" w:rsidP="002E3F14">
      <w:pPr>
        <w:rPr>
          <w:lang w:val="en-GB"/>
        </w:rPr>
      </w:pPr>
      <w:r w:rsidRPr="002E3F14">
        <w:rPr>
          <w:lang w:val="en-GB"/>
        </w:rPr>
        <w:lastRenderedPageBreak/>
        <w:t>The formal assessment regarding the completeness of the application and the applicant’s right to participate in the Arrival Programme is made by the International Relations Office; the approval of the research plan is given by the applicant’s research supervisor at the UW unit. In the case of students, the research supervisor must have at least a doctoral degree; in the case of doctoral students, the supervisor must be a habilitated doctor.</w:t>
      </w:r>
    </w:p>
    <w:p w14:paraId="3E253961" w14:textId="77777777" w:rsidR="002E3F14" w:rsidRPr="002E3F14" w:rsidRDefault="002E3F14" w:rsidP="002E3F14">
      <w:pPr>
        <w:rPr>
          <w:lang w:val="en-GB"/>
        </w:rPr>
      </w:pPr>
      <w:r w:rsidRPr="002E3F14">
        <w:rPr>
          <w:lang w:val="en-GB"/>
        </w:rPr>
        <w:t>Applications will be accepted within the dates specified in the vacancy notice or until the funds are exhausted.</w:t>
      </w:r>
    </w:p>
    <w:p w14:paraId="3517172E" w14:textId="77777777" w:rsidR="002E3F14" w:rsidRPr="002E3F14" w:rsidRDefault="002E3F14" w:rsidP="002E3F14">
      <w:pPr>
        <w:rPr>
          <w:lang w:val="en-GB"/>
        </w:rPr>
      </w:pPr>
      <w:r w:rsidRPr="002E3F14">
        <w:rPr>
          <w:lang w:val="en-GB"/>
        </w:rPr>
        <w:t>The budget of the Arrivals Programme: 600,000 PLN.</w:t>
      </w:r>
    </w:p>
    <w:p w14:paraId="51E10A7D" w14:textId="77777777" w:rsidR="002E3F14" w:rsidRPr="002E3F14" w:rsidRDefault="002E3F14" w:rsidP="002E3F14">
      <w:pPr>
        <w:rPr>
          <w:lang w:val="en-GB"/>
        </w:rPr>
      </w:pPr>
      <w:r w:rsidRPr="002E3F14">
        <w:rPr>
          <w:lang w:val="en-GB"/>
        </w:rPr>
        <w:t>Candidates’ applications will be considered within 14 days.</w:t>
      </w:r>
    </w:p>
    <w:p w14:paraId="415C41E4" w14:textId="77777777" w:rsidR="002E3F14" w:rsidRPr="002E3F14" w:rsidRDefault="002E3F14" w:rsidP="002E3F14">
      <w:pPr>
        <w:rPr>
          <w:lang w:val="en-GB"/>
        </w:rPr>
      </w:pPr>
      <w:r w:rsidRPr="002E3F14">
        <w:rPr>
          <w:lang w:val="en-GB"/>
        </w:rPr>
        <w:t>Applications which are incomplete or inconsistent with the rules are sent for supplementation/correction. Information on sending the application back to be corrected/supplemented is sent to the beneficiary’s email address. A completed/amended application for funding should be resubmitted within 7 days of receiving a returned application.</w:t>
      </w:r>
    </w:p>
    <w:p w14:paraId="0B589190" w14:textId="77777777" w:rsidR="002E3F14" w:rsidRPr="002E3F14" w:rsidRDefault="002E3F14" w:rsidP="002E3F14">
      <w:pPr>
        <w:rPr>
          <w:lang w:val="en-GB"/>
        </w:rPr>
      </w:pPr>
      <w:r w:rsidRPr="002E3F14">
        <w:rPr>
          <w:lang w:val="en-GB"/>
        </w:rPr>
        <w:t>The decision to award funding is made by the IDUB Programme Manager. The decision is sent to the email address. The Programme Manager’s decision is final.</w:t>
      </w:r>
    </w:p>
    <w:p w14:paraId="5FD4EA99" w14:textId="77777777" w:rsidR="002E3F14" w:rsidRPr="002E3F14" w:rsidRDefault="002E3F14" w:rsidP="002E3F14">
      <w:pPr>
        <w:rPr>
          <w:lang w:val="en-GB"/>
        </w:rPr>
      </w:pPr>
      <w:r w:rsidRPr="002E3F14">
        <w:rPr>
          <w:lang w:val="en-GB"/>
        </w:rPr>
        <w:t>BWZ signs an agreement with the beneficiaries of the Programme at the beginning of the mobility period.</w:t>
      </w:r>
    </w:p>
    <w:p w14:paraId="0638CCA6" w14:textId="77777777" w:rsidR="002E3F14" w:rsidRPr="002E3F14" w:rsidRDefault="002E3F14" w:rsidP="002E3F14">
      <w:pPr>
        <w:rPr>
          <w:lang w:val="en-GB"/>
        </w:rPr>
      </w:pPr>
      <w:r w:rsidRPr="002E3F14">
        <w:rPr>
          <w:lang w:val="en-GB"/>
        </w:rPr>
        <w:t>6) Settlement rules</w:t>
      </w:r>
    </w:p>
    <w:p w14:paraId="4C0FA058" w14:textId="77777777" w:rsidR="002E3F14" w:rsidRPr="00936239" w:rsidRDefault="002E3F14" w:rsidP="002E3F14">
      <w:pPr>
        <w:rPr>
          <w:lang w:val="en-GB"/>
        </w:rPr>
      </w:pPr>
      <w:r w:rsidRPr="002E3F14">
        <w:rPr>
          <w:lang w:val="en-GB"/>
        </w:rPr>
        <w:t xml:space="preserve">Qualified participants in the Arrivals Programme must be present at the University of Warsaw and fully participate in all planned activities throughout the mobility period. </w:t>
      </w:r>
      <w:r w:rsidRPr="00936239">
        <w:rPr>
          <w:lang w:val="en-GB"/>
        </w:rPr>
        <w:t>All activities must be properly documented.</w:t>
      </w:r>
    </w:p>
    <w:p w14:paraId="0E8737F9" w14:textId="77777777" w:rsidR="002E3F14" w:rsidRPr="002E3F14" w:rsidRDefault="002E3F14" w:rsidP="002E3F14">
      <w:pPr>
        <w:rPr>
          <w:lang w:val="en-GB"/>
        </w:rPr>
      </w:pPr>
      <w:r w:rsidRPr="002E3F14">
        <w:rPr>
          <w:lang w:val="en-GB"/>
        </w:rPr>
        <w:t>At the end of the visit, a report on the implementation of the objectives of the visit should be prepared and submitted to the International Relations Office (BWZ) during the last 7 days of the stay at the University of Warsaw (Annex 3).</w:t>
      </w:r>
    </w:p>
    <w:p w14:paraId="747B036D" w14:textId="77777777" w:rsidR="002E3F14" w:rsidRPr="002E3F14" w:rsidRDefault="002E3F14" w:rsidP="002E3F14">
      <w:pPr>
        <w:rPr>
          <w:lang w:val="en-GB"/>
        </w:rPr>
      </w:pPr>
      <w:r w:rsidRPr="002E3F14">
        <w:rPr>
          <w:lang w:val="en-GB"/>
        </w:rPr>
        <w:t>7) Final provision</w:t>
      </w:r>
    </w:p>
    <w:p w14:paraId="506EFB1D" w14:textId="01BA05F0" w:rsidR="002E3F14" w:rsidRPr="002E3F14" w:rsidRDefault="002E3F14" w:rsidP="002E3F14">
      <w:pPr>
        <w:rPr>
          <w:lang w:val="en-GB"/>
        </w:rPr>
      </w:pPr>
      <w:r w:rsidRPr="002E3F14">
        <w:rPr>
          <w:lang w:val="en-GB"/>
        </w:rPr>
        <w:t xml:space="preserve">These rules come into force on </w:t>
      </w:r>
      <w:r>
        <w:rPr>
          <w:lang w:val="en-GB"/>
        </w:rPr>
        <w:t>the date of their announcement.</w:t>
      </w:r>
    </w:p>
    <w:p w14:paraId="4CA47A2D" w14:textId="77777777" w:rsidR="002E3F14" w:rsidRPr="002E3F14" w:rsidRDefault="002E3F14" w:rsidP="002E3F14">
      <w:pPr>
        <w:rPr>
          <w:lang w:val="en-GB"/>
        </w:rPr>
      </w:pPr>
      <w:r w:rsidRPr="002E3F14">
        <w:rPr>
          <w:lang w:val="en-GB"/>
        </w:rPr>
        <w:t>Annexes</w:t>
      </w:r>
    </w:p>
    <w:p w14:paraId="5CEFE6BD" w14:textId="77777777" w:rsidR="002E3F14" w:rsidRPr="002E3F14" w:rsidRDefault="002E3F14" w:rsidP="002E3F14">
      <w:pPr>
        <w:rPr>
          <w:lang w:val="en-GB"/>
        </w:rPr>
      </w:pPr>
      <w:r w:rsidRPr="002E3F14">
        <w:rPr>
          <w:lang w:val="en-GB"/>
        </w:rPr>
        <w:t>Annex 1. Application form</w:t>
      </w:r>
    </w:p>
    <w:p w14:paraId="4741D597" w14:textId="77777777" w:rsidR="002E3F14" w:rsidRPr="002E3F14" w:rsidRDefault="002E3F14" w:rsidP="002E3F14">
      <w:pPr>
        <w:rPr>
          <w:lang w:val="en-GB"/>
        </w:rPr>
      </w:pPr>
      <w:r w:rsidRPr="002E3F14">
        <w:rPr>
          <w:lang w:val="en-GB"/>
        </w:rPr>
        <w:t>Annex 2. Research plan</w:t>
      </w:r>
    </w:p>
    <w:p w14:paraId="3487FCC9" w14:textId="77777777" w:rsidR="002E3F14" w:rsidRPr="002E3F14" w:rsidRDefault="002E3F14" w:rsidP="002E3F14">
      <w:pPr>
        <w:rPr>
          <w:lang w:val="en-GB"/>
        </w:rPr>
      </w:pPr>
      <w:r w:rsidRPr="002E3F14">
        <w:rPr>
          <w:lang w:val="en-GB"/>
        </w:rPr>
        <w:t>Annex 3. Report on the implementation of the research plan</w:t>
      </w:r>
    </w:p>
    <w:p w14:paraId="1FB94C52" w14:textId="226FC7AF" w:rsidR="002E3F14" w:rsidRPr="00936239" w:rsidRDefault="002E3F14" w:rsidP="002E3F14">
      <w:pPr>
        <w:rPr>
          <w:lang w:val="en-GB"/>
        </w:rPr>
      </w:pPr>
    </w:p>
    <w:p w14:paraId="3C1D853C" w14:textId="2A467102" w:rsidR="00D34BC4" w:rsidRPr="00936239" w:rsidRDefault="00D34BC4" w:rsidP="002E3F14">
      <w:pPr>
        <w:rPr>
          <w:lang w:val="en-GB"/>
        </w:rPr>
      </w:pPr>
    </w:p>
    <w:sectPr w:rsidR="00D34BC4" w:rsidRPr="00936239" w:rsidSect="00157E9A">
      <w:headerReference w:type="even" r:id="rId8"/>
      <w:headerReference w:type="default" r:id="rId9"/>
      <w:footerReference w:type="even" r:id="rId10"/>
      <w:footerReference w:type="default" r:id="rId11"/>
      <w:headerReference w:type="first" r:id="rId12"/>
      <w:footerReference w:type="first" r:id="rId13"/>
      <w:pgSz w:w="11906" w:h="16838"/>
      <w:pgMar w:top="3198"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019D1" w14:textId="77777777" w:rsidR="00667EA4" w:rsidRDefault="00667EA4" w:rsidP="00451442">
      <w:pPr>
        <w:spacing w:after="0" w:line="240" w:lineRule="auto"/>
      </w:pPr>
      <w:r>
        <w:separator/>
      </w:r>
    </w:p>
  </w:endnote>
  <w:endnote w:type="continuationSeparator" w:id="0">
    <w:p w14:paraId="07E6CC35" w14:textId="77777777" w:rsidR="00667EA4" w:rsidRDefault="00667EA4" w:rsidP="00451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2D860" w14:textId="77777777" w:rsidR="00157E9A" w:rsidRDefault="00157E9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5887" w14:textId="77777777" w:rsidR="00157E9A" w:rsidRDefault="00157E9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8819" w14:textId="77777777" w:rsidR="00157E9A" w:rsidRDefault="00157E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CE167" w14:textId="77777777" w:rsidR="00667EA4" w:rsidRDefault="00667EA4" w:rsidP="00451442">
      <w:pPr>
        <w:spacing w:after="0" w:line="240" w:lineRule="auto"/>
      </w:pPr>
      <w:r>
        <w:separator/>
      </w:r>
    </w:p>
  </w:footnote>
  <w:footnote w:type="continuationSeparator" w:id="0">
    <w:p w14:paraId="7A68EBCF" w14:textId="77777777" w:rsidR="00667EA4" w:rsidRDefault="00667EA4" w:rsidP="00451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BBD30" w14:textId="77777777" w:rsidR="00157E9A" w:rsidRDefault="00157E9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C7F19" w14:textId="7C4B6957" w:rsidR="00D676CE" w:rsidRPr="00D676CE" w:rsidRDefault="00D676CE" w:rsidP="00D676CE">
    <w:pPr>
      <w:pStyle w:val="Nagwek"/>
    </w:pPr>
    <w:r w:rsidRPr="00695699">
      <w:rPr>
        <w:rFonts w:ascii="Times New Roman" w:eastAsia="Times New Roman" w:hAnsi="Times New Roman" w:cs="Times New Roman"/>
        <w:noProof/>
        <w:sz w:val="24"/>
        <w:szCs w:val="24"/>
        <w:lang w:eastAsia="pl-PL"/>
      </w:rPr>
      <w:drawing>
        <wp:inline distT="0" distB="0" distL="0" distR="0" wp14:anchorId="4BF30F40" wp14:editId="469CE06B">
          <wp:extent cx="1455420" cy="59245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592455"/>
                  </a:xfrm>
                  <a:prstGeom prst="rect">
                    <a:avLst/>
                  </a:prstGeom>
                  <a:noFill/>
                  <a:ln>
                    <a:noFill/>
                  </a:ln>
                </pic:spPr>
              </pic:pic>
            </a:graphicData>
          </a:graphic>
        </wp:inline>
      </w:drawing>
    </w:r>
    <w:r>
      <w:tab/>
      <w:t xml:space="preserve">  </w:t>
    </w:r>
    <w:r>
      <w:tab/>
    </w:r>
    <w:r w:rsidRPr="00695699">
      <w:rPr>
        <w:rFonts w:ascii="Times New Roman" w:eastAsia="Times New Roman" w:hAnsi="Times New Roman" w:cs="Times New Roman"/>
        <w:noProof/>
        <w:sz w:val="24"/>
        <w:szCs w:val="24"/>
        <w:lang w:eastAsia="pl-PL"/>
      </w:rPr>
      <w:drawing>
        <wp:inline distT="0" distB="0" distL="0" distR="0" wp14:anchorId="129D26C7" wp14:editId="31E56694">
          <wp:extent cx="1764665" cy="656590"/>
          <wp:effectExtent l="0" t="0" r="698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4665" cy="65659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E502B" w14:textId="52637B96" w:rsidR="00695699" w:rsidRDefault="00695699">
    <w:pPr>
      <w:pStyle w:val="Nagwek"/>
    </w:pPr>
    <w:r w:rsidRPr="00695699">
      <w:rPr>
        <w:rFonts w:ascii="Times New Roman" w:eastAsia="Times New Roman" w:hAnsi="Times New Roman" w:cs="Times New Roman"/>
        <w:noProof/>
        <w:sz w:val="24"/>
        <w:szCs w:val="24"/>
        <w:lang w:eastAsia="pl-PL"/>
      </w:rPr>
      <w:drawing>
        <wp:inline distT="0" distB="0" distL="0" distR="0" wp14:anchorId="43A82E33" wp14:editId="53D6E9AA">
          <wp:extent cx="1455420" cy="59245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592455"/>
                  </a:xfrm>
                  <a:prstGeom prst="rect">
                    <a:avLst/>
                  </a:prstGeom>
                  <a:noFill/>
                  <a:ln>
                    <a:noFill/>
                  </a:ln>
                </pic:spPr>
              </pic:pic>
            </a:graphicData>
          </a:graphic>
        </wp:inline>
      </w:drawing>
    </w:r>
    <w:r>
      <w:t xml:space="preserve">                                                </w:t>
    </w:r>
    <w:r w:rsidR="00D676CE">
      <w:tab/>
    </w:r>
    <w:r w:rsidR="008165BE">
      <w:rPr>
        <w:noProof/>
      </w:rPr>
      <w:drawing>
        <wp:inline distT="0" distB="0" distL="0" distR="0" wp14:anchorId="4D8915FD" wp14:editId="5364380F">
          <wp:extent cx="1303868" cy="651934"/>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2">
                    <a:extLst>
                      <a:ext uri="{28A0092B-C50C-407E-A947-70E740481C1C}">
                        <a14:useLocalDpi xmlns:a14="http://schemas.microsoft.com/office/drawing/2010/main" val="0"/>
                      </a:ext>
                    </a:extLst>
                  </a:blip>
                  <a:stretch>
                    <a:fillRect/>
                  </a:stretch>
                </pic:blipFill>
                <pic:spPr>
                  <a:xfrm>
                    <a:off x="0" y="0"/>
                    <a:ext cx="1312728" cy="656364"/>
                  </a:xfrm>
                  <a:prstGeom prst="rect">
                    <a:avLst/>
                  </a:prstGeom>
                </pic:spPr>
              </pic:pic>
            </a:graphicData>
          </a:graphic>
        </wp:inline>
      </w:drawing>
    </w:r>
    <w:r w:rsidR="008165BE">
      <w:rPr>
        <w:noProof/>
      </w:rPr>
      <mc:AlternateContent>
        <mc:Choice Requires="wps">
          <w:drawing>
            <wp:inline distT="0" distB="0" distL="0" distR="0" wp14:anchorId="73175942" wp14:editId="0A99C316">
              <wp:extent cx="304800" cy="304800"/>
              <wp:effectExtent l="0" t="0" r="0" b="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4FB19" w14:textId="77777777" w:rsidR="008165BE" w:rsidRDefault="008165BE" w:rsidP="008165BE">
                          <w:pPr>
                            <w:jc w:val="center"/>
                          </w:pPr>
                        </w:p>
                      </w:txbxContent>
                    </wps:txbx>
                    <wps:bodyPr rot="0" vert="horz" wrap="square" lIns="91440" tIns="45720" rIns="91440" bIns="45720" anchor="t" anchorCtr="0" upright="1">
                      <a:noAutofit/>
                    </wps:bodyPr>
                  </wps:wsp>
                </a:graphicData>
              </a:graphic>
            </wp:inline>
          </w:drawing>
        </mc:Choice>
        <mc:Fallback>
          <w:pict>
            <v:rect w14:anchorId="73175942"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PPSV8ruAQAAzwMAAA4AAAAAAAAAAAAAAAAALgIAAGRycy9lMm9Eb2MueG1s&#10;UEsBAi0AFAAGAAgAAAAhAEyg6SzYAAAAAwEAAA8AAAAAAAAAAAAAAAAASAQAAGRycy9kb3ducmV2&#10;LnhtbFBLBQYAAAAABAAEAPMAAABNBQAAAAA=&#10;" filled="f" stroked="f">
              <o:lock v:ext="edit" aspectratio="t"/>
              <v:textbox>
                <w:txbxContent>
                  <w:p w14:paraId="4E84FB19" w14:textId="77777777" w:rsidR="008165BE" w:rsidRDefault="008165BE" w:rsidP="008165BE">
                    <w:pPr>
                      <w:jc w:val="center"/>
                    </w:pPr>
                  </w:p>
                </w:txbxContent>
              </v:textbox>
              <w10:anchorlock/>
            </v:rect>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542F"/>
    <w:multiLevelType w:val="hybridMultilevel"/>
    <w:tmpl w:val="86F6ED2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39F700C"/>
    <w:multiLevelType w:val="hybridMultilevel"/>
    <w:tmpl w:val="986CE66A"/>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 w15:restartNumberingAfterBreak="0">
    <w:nsid w:val="1A9A330E"/>
    <w:multiLevelType w:val="hybridMultilevel"/>
    <w:tmpl w:val="7556C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E90EB1"/>
    <w:multiLevelType w:val="hybridMultilevel"/>
    <w:tmpl w:val="587C11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277751B"/>
    <w:multiLevelType w:val="hybridMultilevel"/>
    <w:tmpl w:val="AEA80D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40755CA"/>
    <w:multiLevelType w:val="hybridMultilevel"/>
    <w:tmpl w:val="E4647F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AC2B20"/>
    <w:multiLevelType w:val="hybridMultilevel"/>
    <w:tmpl w:val="3662AA1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D3877F8"/>
    <w:multiLevelType w:val="hybridMultilevel"/>
    <w:tmpl w:val="6876F3DE"/>
    <w:lvl w:ilvl="0" w:tplc="8C144250">
      <w:start w:val="1"/>
      <w:numFmt w:val="bullet"/>
      <w:lvlText w:val="–"/>
      <w:lvlJc w:val="left"/>
      <w:pPr>
        <w:ind w:left="1776" w:hanging="360"/>
      </w:pPr>
      <w:rPr>
        <w:rFonts w:ascii="Arial" w:hAnsi="Arial" w:hint="default"/>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 w15:restartNumberingAfterBreak="0">
    <w:nsid w:val="30752E03"/>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39930AF"/>
    <w:multiLevelType w:val="hybridMultilevel"/>
    <w:tmpl w:val="DE5891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E75526"/>
    <w:multiLevelType w:val="hybridMultilevel"/>
    <w:tmpl w:val="A43408DE"/>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1" w15:restartNumberingAfterBreak="0">
    <w:nsid w:val="34AA291C"/>
    <w:multiLevelType w:val="hybridMultilevel"/>
    <w:tmpl w:val="148CBD9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396C1C6E"/>
    <w:multiLevelType w:val="hybridMultilevel"/>
    <w:tmpl w:val="BF06BCF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B707B45"/>
    <w:multiLevelType w:val="hybridMultilevel"/>
    <w:tmpl w:val="C60C68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0D251D"/>
    <w:multiLevelType w:val="hybridMultilevel"/>
    <w:tmpl w:val="E5FCAF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9C0A4D"/>
    <w:multiLevelType w:val="hybridMultilevel"/>
    <w:tmpl w:val="99968A4C"/>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44EF4A1C"/>
    <w:multiLevelType w:val="hybridMultilevel"/>
    <w:tmpl w:val="B56EBB88"/>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6075028"/>
    <w:multiLevelType w:val="hybridMultilevel"/>
    <w:tmpl w:val="9A149270"/>
    <w:lvl w:ilvl="0" w:tplc="0415000F">
      <w:start w:val="1"/>
      <w:numFmt w:val="decimal"/>
      <w:lvlText w:val="%1."/>
      <w:lvlJc w:val="left"/>
      <w:pPr>
        <w:ind w:left="1340" w:hanging="360"/>
      </w:pPr>
    </w:lvl>
    <w:lvl w:ilvl="1" w:tplc="04150019" w:tentative="1">
      <w:start w:val="1"/>
      <w:numFmt w:val="lowerLetter"/>
      <w:lvlText w:val="%2."/>
      <w:lvlJc w:val="left"/>
      <w:pPr>
        <w:ind w:left="2060" w:hanging="360"/>
      </w:pPr>
    </w:lvl>
    <w:lvl w:ilvl="2" w:tplc="0415001B" w:tentative="1">
      <w:start w:val="1"/>
      <w:numFmt w:val="lowerRoman"/>
      <w:lvlText w:val="%3."/>
      <w:lvlJc w:val="right"/>
      <w:pPr>
        <w:ind w:left="2780" w:hanging="180"/>
      </w:pPr>
    </w:lvl>
    <w:lvl w:ilvl="3" w:tplc="0415000F" w:tentative="1">
      <w:start w:val="1"/>
      <w:numFmt w:val="decimal"/>
      <w:lvlText w:val="%4."/>
      <w:lvlJc w:val="left"/>
      <w:pPr>
        <w:ind w:left="3500" w:hanging="360"/>
      </w:pPr>
    </w:lvl>
    <w:lvl w:ilvl="4" w:tplc="04150019" w:tentative="1">
      <w:start w:val="1"/>
      <w:numFmt w:val="lowerLetter"/>
      <w:lvlText w:val="%5."/>
      <w:lvlJc w:val="left"/>
      <w:pPr>
        <w:ind w:left="4220" w:hanging="360"/>
      </w:pPr>
    </w:lvl>
    <w:lvl w:ilvl="5" w:tplc="0415001B" w:tentative="1">
      <w:start w:val="1"/>
      <w:numFmt w:val="lowerRoman"/>
      <w:lvlText w:val="%6."/>
      <w:lvlJc w:val="right"/>
      <w:pPr>
        <w:ind w:left="4940" w:hanging="180"/>
      </w:pPr>
    </w:lvl>
    <w:lvl w:ilvl="6" w:tplc="0415000F" w:tentative="1">
      <w:start w:val="1"/>
      <w:numFmt w:val="decimal"/>
      <w:lvlText w:val="%7."/>
      <w:lvlJc w:val="left"/>
      <w:pPr>
        <w:ind w:left="5660" w:hanging="360"/>
      </w:pPr>
    </w:lvl>
    <w:lvl w:ilvl="7" w:tplc="04150019" w:tentative="1">
      <w:start w:val="1"/>
      <w:numFmt w:val="lowerLetter"/>
      <w:lvlText w:val="%8."/>
      <w:lvlJc w:val="left"/>
      <w:pPr>
        <w:ind w:left="6380" w:hanging="360"/>
      </w:pPr>
    </w:lvl>
    <w:lvl w:ilvl="8" w:tplc="0415001B" w:tentative="1">
      <w:start w:val="1"/>
      <w:numFmt w:val="lowerRoman"/>
      <w:lvlText w:val="%9."/>
      <w:lvlJc w:val="right"/>
      <w:pPr>
        <w:ind w:left="7100" w:hanging="180"/>
      </w:pPr>
    </w:lvl>
  </w:abstractNum>
  <w:abstractNum w:abstractNumId="18" w15:restartNumberingAfterBreak="0">
    <w:nsid w:val="4E042DC1"/>
    <w:multiLevelType w:val="hybridMultilevel"/>
    <w:tmpl w:val="ECFAC842"/>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9" w15:restartNumberingAfterBreak="0">
    <w:nsid w:val="50522021"/>
    <w:multiLevelType w:val="hybridMultilevel"/>
    <w:tmpl w:val="DE5891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FB86D31"/>
    <w:multiLevelType w:val="hybridMultilevel"/>
    <w:tmpl w:val="607E4E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61217AE"/>
    <w:multiLevelType w:val="hybridMultilevel"/>
    <w:tmpl w:val="3466758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7B972AD9"/>
    <w:multiLevelType w:val="hybridMultilevel"/>
    <w:tmpl w:val="CE10C008"/>
    <w:lvl w:ilvl="0" w:tplc="0576DE1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0"/>
  </w:num>
  <w:num w:numId="2">
    <w:abstractNumId w:val="11"/>
  </w:num>
  <w:num w:numId="3">
    <w:abstractNumId w:val="14"/>
  </w:num>
  <w:num w:numId="4">
    <w:abstractNumId w:val="2"/>
  </w:num>
  <w:num w:numId="5">
    <w:abstractNumId w:val="16"/>
  </w:num>
  <w:num w:numId="6">
    <w:abstractNumId w:val="7"/>
  </w:num>
  <w:num w:numId="7">
    <w:abstractNumId w:val="19"/>
  </w:num>
  <w:num w:numId="8">
    <w:abstractNumId w:val="8"/>
  </w:num>
  <w:num w:numId="9">
    <w:abstractNumId w:val="13"/>
  </w:num>
  <w:num w:numId="10">
    <w:abstractNumId w:val="3"/>
  </w:num>
  <w:num w:numId="11">
    <w:abstractNumId w:val="6"/>
  </w:num>
  <w:num w:numId="12">
    <w:abstractNumId w:val="0"/>
  </w:num>
  <w:num w:numId="13">
    <w:abstractNumId w:val="12"/>
  </w:num>
  <w:num w:numId="14">
    <w:abstractNumId w:val="18"/>
  </w:num>
  <w:num w:numId="15">
    <w:abstractNumId w:val="10"/>
  </w:num>
  <w:num w:numId="16">
    <w:abstractNumId w:val="1"/>
  </w:num>
  <w:num w:numId="17">
    <w:abstractNumId w:val="9"/>
  </w:num>
  <w:num w:numId="18">
    <w:abstractNumId w:val="22"/>
  </w:num>
  <w:num w:numId="19">
    <w:abstractNumId w:val="17"/>
  </w:num>
  <w:num w:numId="20">
    <w:abstractNumId w:val="5"/>
  </w:num>
  <w:num w:numId="21">
    <w:abstractNumId w:val="4"/>
  </w:num>
  <w:num w:numId="22">
    <w:abstractNumId w:val="1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80"/>
    <w:rsid w:val="000200E3"/>
    <w:rsid w:val="00085730"/>
    <w:rsid w:val="0009186C"/>
    <w:rsid w:val="000B73C6"/>
    <w:rsid w:val="000D47B6"/>
    <w:rsid w:val="000E46E0"/>
    <w:rsid w:val="000F6B99"/>
    <w:rsid w:val="00100DAA"/>
    <w:rsid w:val="00123BEB"/>
    <w:rsid w:val="00126D5A"/>
    <w:rsid w:val="00157E9A"/>
    <w:rsid w:val="00172D2E"/>
    <w:rsid w:val="00182B82"/>
    <w:rsid w:val="00187C03"/>
    <w:rsid w:val="001935A5"/>
    <w:rsid w:val="001964C5"/>
    <w:rsid w:val="001B00AC"/>
    <w:rsid w:val="001D382D"/>
    <w:rsid w:val="001E081B"/>
    <w:rsid w:val="00216C39"/>
    <w:rsid w:val="00232BD4"/>
    <w:rsid w:val="0023398C"/>
    <w:rsid w:val="0025766E"/>
    <w:rsid w:val="00260D30"/>
    <w:rsid w:val="00271A86"/>
    <w:rsid w:val="002853F5"/>
    <w:rsid w:val="002A01EE"/>
    <w:rsid w:val="002B5241"/>
    <w:rsid w:val="002D03EC"/>
    <w:rsid w:val="002D05A4"/>
    <w:rsid w:val="002D28E7"/>
    <w:rsid w:val="002E3F14"/>
    <w:rsid w:val="00342544"/>
    <w:rsid w:val="003932BB"/>
    <w:rsid w:val="003A3982"/>
    <w:rsid w:val="003E2E45"/>
    <w:rsid w:val="003E5EA5"/>
    <w:rsid w:val="004029BE"/>
    <w:rsid w:val="00451442"/>
    <w:rsid w:val="004727DE"/>
    <w:rsid w:val="004A2BA8"/>
    <w:rsid w:val="004A581A"/>
    <w:rsid w:val="004B2D35"/>
    <w:rsid w:val="004E35B6"/>
    <w:rsid w:val="00514BDF"/>
    <w:rsid w:val="0051532A"/>
    <w:rsid w:val="0051539A"/>
    <w:rsid w:val="00536E5B"/>
    <w:rsid w:val="00565E2B"/>
    <w:rsid w:val="00575246"/>
    <w:rsid w:val="005843A6"/>
    <w:rsid w:val="005A571E"/>
    <w:rsid w:val="005C6EAA"/>
    <w:rsid w:val="005D6C8A"/>
    <w:rsid w:val="005E343E"/>
    <w:rsid w:val="005F5F70"/>
    <w:rsid w:val="00626538"/>
    <w:rsid w:val="00646BA7"/>
    <w:rsid w:val="006605F7"/>
    <w:rsid w:val="006659ED"/>
    <w:rsid w:val="00667EA4"/>
    <w:rsid w:val="00680353"/>
    <w:rsid w:val="00695699"/>
    <w:rsid w:val="006B3765"/>
    <w:rsid w:val="006C10E6"/>
    <w:rsid w:val="00765DE0"/>
    <w:rsid w:val="00767D29"/>
    <w:rsid w:val="007A2813"/>
    <w:rsid w:val="007D16A1"/>
    <w:rsid w:val="007D4ECC"/>
    <w:rsid w:val="007D647A"/>
    <w:rsid w:val="007E7919"/>
    <w:rsid w:val="007F1226"/>
    <w:rsid w:val="007F370E"/>
    <w:rsid w:val="00814608"/>
    <w:rsid w:val="008165BE"/>
    <w:rsid w:val="00821F4F"/>
    <w:rsid w:val="008244CD"/>
    <w:rsid w:val="008335F5"/>
    <w:rsid w:val="00834C77"/>
    <w:rsid w:val="00857EE1"/>
    <w:rsid w:val="008A1770"/>
    <w:rsid w:val="008B2D53"/>
    <w:rsid w:val="008C0A9B"/>
    <w:rsid w:val="008C5E83"/>
    <w:rsid w:val="00917BC0"/>
    <w:rsid w:val="00924514"/>
    <w:rsid w:val="00936239"/>
    <w:rsid w:val="00955746"/>
    <w:rsid w:val="009573FA"/>
    <w:rsid w:val="00970AE0"/>
    <w:rsid w:val="009723F0"/>
    <w:rsid w:val="009756CD"/>
    <w:rsid w:val="00992377"/>
    <w:rsid w:val="009A577E"/>
    <w:rsid w:val="009B0C4B"/>
    <w:rsid w:val="009D229D"/>
    <w:rsid w:val="009E0262"/>
    <w:rsid w:val="00A00541"/>
    <w:rsid w:val="00A4582D"/>
    <w:rsid w:val="00A50F9A"/>
    <w:rsid w:val="00A73ACE"/>
    <w:rsid w:val="00A92F8C"/>
    <w:rsid w:val="00AB12A5"/>
    <w:rsid w:val="00AC1442"/>
    <w:rsid w:val="00AD5F8A"/>
    <w:rsid w:val="00AD6B31"/>
    <w:rsid w:val="00AF29D5"/>
    <w:rsid w:val="00B66374"/>
    <w:rsid w:val="00B953CA"/>
    <w:rsid w:val="00BE6811"/>
    <w:rsid w:val="00BE7D80"/>
    <w:rsid w:val="00BF7E47"/>
    <w:rsid w:val="00C11371"/>
    <w:rsid w:val="00C27C20"/>
    <w:rsid w:val="00C43CF5"/>
    <w:rsid w:val="00C95301"/>
    <w:rsid w:val="00CB36E9"/>
    <w:rsid w:val="00CD1CD6"/>
    <w:rsid w:val="00CE3351"/>
    <w:rsid w:val="00CE344D"/>
    <w:rsid w:val="00CF29C4"/>
    <w:rsid w:val="00D04871"/>
    <w:rsid w:val="00D06F8D"/>
    <w:rsid w:val="00D32EBF"/>
    <w:rsid w:val="00D34BC4"/>
    <w:rsid w:val="00D676CE"/>
    <w:rsid w:val="00D7432F"/>
    <w:rsid w:val="00D97AF2"/>
    <w:rsid w:val="00DA2AB3"/>
    <w:rsid w:val="00DD0C52"/>
    <w:rsid w:val="00DD67E1"/>
    <w:rsid w:val="00E6603B"/>
    <w:rsid w:val="00E7476E"/>
    <w:rsid w:val="00E921B4"/>
    <w:rsid w:val="00EC3A70"/>
    <w:rsid w:val="00EE495B"/>
    <w:rsid w:val="00F2541C"/>
    <w:rsid w:val="00F34429"/>
    <w:rsid w:val="00F35C0E"/>
    <w:rsid w:val="00F71579"/>
    <w:rsid w:val="00F81AD0"/>
    <w:rsid w:val="00F83728"/>
    <w:rsid w:val="00F91020"/>
    <w:rsid w:val="00F963EB"/>
    <w:rsid w:val="00FA1CD4"/>
    <w:rsid w:val="00FD2BFA"/>
    <w:rsid w:val="00FD5863"/>
    <w:rsid w:val="00FD672D"/>
    <w:rsid w:val="00FE7A99"/>
    <w:rsid w:val="00FF67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7BAC8"/>
  <w15:chartTrackingRefBased/>
  <w15:docId w15:val="{77F2794F-EA8A-4077-92C5-0C14DFB98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7D80"/>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E7D80"/>
    <w:pPr>
      <w:ind w:left="720"/>
      <w:contextualSpacing/>
    </w:pPr>
  </w:style>
  <w:style w:type="character" w:styleId="Odwoaniedokomentarza">
    <w:name w:val="annotation reference"/>
    <w:basedOn w:val="Domylnaczcionkaakapitu"/>
    <w:uiPriority w:val="99"/>
    <w:semiHidden/>
    <w:unhideWhenUsed/>
    <w:rsid w:val="00BE7D80"/>
    <w:rPr>
      <w:sz w:val="16"/>
      <w:szCs w:val="16"/>
    </w:rPr>
  </w:style>
  <w:style w:type="paragraph" w:styleId="Tekstkomentarza">
    <w:name w:val="annotation text"/>
    <w:basedOn w:val="Normalny"/>
    <w:link w:val="TekstkomentarzaZnak"/>
    <w:uiPriority w:val="99"/>
    <w:unhideWhenUsed/>
    <w:rsid w:val="00BE7D80"/>
    <w:pPr>
      <w:spacing w:line="240" w:lineRule="auto"/>
    </w:pPr>
    <w:rPr>
      <w:sz w:val="20"/>
      <w:szCs w:val="20"/>
    </w:rPr>
  </w:style>
  <w:style w:type="character" w:customStyle="1" w:styleId="TekstkomentarzaZnak">
    <w:name w:val="Tekst komentarza Znak"/>
    <w:basedOn w:val="Domylnaczcionkaakapitu"/>
    <w:link w:val="Tekstkomentarza"/>
    <w:uiPriority w:val="99"/>
    <w:rsid w:val="00BE7D80"/>
    <w:rPr>
      <w:sz w:val="20"/>
      <w:szCs w:val="20"/>
    </w:rPr>
  </w:style>
  <w:style w:type="table" w:styleId="Tabela-Siatka">
    <w:name w:val="Table Grid"/>
    <w:basedOn w:val="Standardowy"/>
    <w:uiPriority w:val="39"/>
    <w:rsid w:val="00BE7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BE7D80"/>
  </w:style>
  <w:style w:type="paragraph" w:styleId="Tematkomentarza">
    <w:name w:val="annotation subject"/>
    <w:basedOn w:val="Tekstkomentarza"/>
    <w:next w:val="Tekstkomentarza"/>
    <w:link w:val="TematkomentarzaZnak"/>
    <w:uiPriority w:val="99"/>
    <w:semiHidden/>
    <w:unhideWhenUsed/>
    <w:rsid w:val="00FF67B2"/>
    <w:rPr>
      <w:b/>
      <w:bCs/>
    </w:rPr>
  </w:style>
  <w:style w:type="character" w:customStyle="1" w:styleId="TematkomentarzaZnak">
    <w:name w:val="Temat komentarza Znak"/>
    <w:basedOn w:val="TekstkomentarzaZnak"/>
    <w:link w:val="Tematkomentarza"/>
    <w:uiPriority w:val="99"/>
    <w:semiHidden/>
    <w:rsid w:val="00FF67B2"/>
    <w:rPr>
      <w:b/>
      <w:bCs/>
      <w:sz w:val="20"/>
      <w:szCs w:val="20"/>
    </w:rPr>
  </w:style>
  <w:style w:type="paragraph" w:styleId="Tekstdymka">
    <w:name w:val="Balloon Text"/>
    <w:basedOn w:val="Normalny"/>
    <w:link w:val="TekstdymkaZnak"/>
    <w:uiPriority w:val="99"/>
    <w:semiHidden/>
    <w:unhideWhenUsed/>
    <w:rsid w:val="00FF67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F67B2"/>
    <w:rPr>
      <w:rFonts w:ascii="Segoe UI" w:hAnsi="Segoe UI" w:cs="Segoe UI"/>
      <w:sz w:val="18"/>
      <w:szCs w:val="18"/>
    </w:rPr>
  </w:style>
  <w:style w:type="paragraph" w:styleId="Nagwek">
    <w:name w:val="header"/>
    <w:basedOn w:val="Normalny"/>
    <w:link w:val="NagwekZnak"/>
    <w:uiPriority w:val="99"/>
    <w:unhideWhenUsed/>
    <w:rsid w:val="004514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1442"/>
  </w:style>
  <w:style w:type="paragraph" w:styleId="Stopka">
    <w:name w:val="footer"/>
    <w:basedOn w:val="Normalny"/>
    <w:link w:val="StopkaZnak"/>
    <w:uiPriority w:val="99"/>
    <w:unhideWhenUsed/>
    <w:rsid w:val="004514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1442"/>
  </w:style>
  <w:style w:type="character" w:styleId="Hipercze">
    <w:name w:val="Hyperlink"/>
    <w:basedOn w:val="Domylnaczcionkaakapitu"/>
    <w:uiPriority w:val="99"/>
    <w:unhideWhenUsed/>
    <w:rsid w:val="002853F5"/>
    <w:rPr>
      <w:color w:val="0000FF"/>
      <w:u w:val="single"/>
    </w:rPr>
  </w:style>
  <w:style w:type="paragraph" w:styleId="NormalnyWeb">
    <w:name w:val="Normal (Web)"/>
    <w:basedOn w:val="Normalny"/>
    <w:uiPriority w:val="99"/>
    <w:semiHidden/>
    <w:unhideWhenUsed/>
    <w:rsid w:val="00F81AD0"/>
    <w:pPr>
      <w:spacing w:before="100" w:beforeAutospacing="1" w:after="100" w:afterAutospacing="1" w:line="240" w:lineRule="auto"/>
    </w:pPr>
    <w:rPr>
      <w:rFonts w:ascii="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345545">
      <w:bodyDiv w:val="1"/>
      <w:marLeft w:val="0"/>
      <w:marRight w:val="0"/>
      <w:marTop w:val="0"/>
      <w:marBottom w:val="0"/>
      <w:divBdr>
        <w:top w:val="none" w:sz="0" w:space="0" w:color="auto"/>
        <w:left w:val="none" w:sz="0" w:space="0" w:color="auto"/>
        <w:bottom w:val="none" w:sz="0" w:space="0" w:color="auto"/>
        <w:right w:val="none" w:sz="0" w:space="0" w:color="auto"/>
      </w:divBdr>
    </w:div>
    <w:div w:id="829174458">
      <w:bodyDiv w:val="1"/>
      <w:marLeft w:val="0"/>
      <w:marRight w:val="0"/>
      <w:marTop w:val="0"/>
      <w:marBottom w:val="0"/>
      <w:divBdr>
        <w:top w:val="none" w:sz="0" w:space="0" w:color="auto"/>
        <w:left w:val="none" w:sz="0" w:space="0" w:color="auto"/>
        <w:bottom w:val="none" w:sz="0" w:space="0" w:color="auto"/>
        <w:right w:val="none" w:sz="0" w:space="0" w:color="auto"/>
      </w:divBdr>
    </w:div>
    <w:div w:id="1009134376">
      <w:bodyDiv w:val="1"/>
      <w:marLeft w:val="0"/>
      <w:marRight w:val="0"/>
      <w:marTop w:val="0"/>
      <w:marBottom w:val="0"/>
      <w:divBdr>
        <w:top w:val="none" w:sz="0" w:space="0" w:color="auto"/>
        <w:left w:val="none" w:sz="0" w:space="0" w:color="auto"/>
        <w:bottom w:val="none" w:sz="0" w:space="0" w:color="auto"/>
        <w:right w:val="none" w:sz="0" w:space="0" w:color="auto"/>
      </w:divBdr>
    </w:div>
    <w:div w:id="1428968360">
      <w:bodyDiv w:val="1"/>
      <w:marLeft w:val="0"/>
      <w:marRight w:val="0"/>
      <w:marTop w:val="0"/>
      <w:marBottom w:val="0"/>
      <w:divBdr>
        <w:top w:val="none" w:sz="0" w:space="0" w:color="auto"/>
        <w:left w:val="none" w:sz="0" w:space="0" w:color="auto"/>
        <w:bottom w:val="none" w:sz="0" w:space="0" w:color="auto"/>
        <w:right w:val="none" w:sz="0" w:space="0" w:color="auto"/>
      </w:divBdr>
    </w:div>
    <w:div w:id="1509296279">
      <w:bodyDiv w:val="1"/>
      <w:marLeft w:val="0"/>
      <w:marRight w:val="0"/>
      <w:marTop w:val="0"/>
      <w:marBottom w:val="0"/>
      <w:divBdr>
        <w:top w:val="none" w:sz="0" w:space="0" w:color="auto"/>
        <w:left w:val="none" w:sz="0" w:space="0" w:color="auto"/>
        <w:bottom w:val="none" w:sz="0" w:space="0" w:color="auto"/>
        <w:right w:val="none" w:sz="0" w:space="0" w:color="auto"/>
      </w:divBdr>
      <w:divsChild>
        <w:div w:id="1499804836">
          <w:marLeft w:val="0"/>
          <w:marRight w:val="0"/>
          <w:marTop w:val="0"/>
          <w:marBottom w:val="0"/>
          <w:divBdr>
            <w:top w:val="none" w:sz="0" w:space="0" w:color="auto"/>
            <w:left w:val="none" w:sz="0" w:space="0" w:color="auto"/>
            <w:bottom w:val="none" w:sz="0" w:space="0" w:color="auto"/>
            <w:right w:val="none" w:sz="0" w:space="0" w:color="auto"/>
          </w:divBdr>
          <w:divsChild>
            <w:div w:id="1161307629">
              <w:marLeft w:val="0"/>
              <w:marRight w:val="0"/>
              <w:marTop w:val="0"/>
              <w:marBottom w:val="0"/>
              <w:divBdr>
                <w:top w:val="none" w:sz="0" w:space="0" w:color="auto"/>
                <w:left w:val="none" w:sz="0" w:space="0" w:color="auto"/>
                <w:bottom w:val="none" w:sz="0" w:space="0" w:color="auto"/>
                <w:right w:val="none" w:sz="0" w:space="0" w:color="auto"/>
              </w:divBdr>
              <w:divsChild>
                <w:div w:id="981737222">
                  <w:marLeft w:val="0"/>
                  <w:marRight w:val="0"/>
                  <w:marTop w:val="0"/>
                  <w:marBottom w:val="360"/>
                  <w:divBdr>
                    <w:top w:val="single" w:sz="6" w:space="0" w:color="D6D6D6"/>
                    <w:left w:val="single" w:sz="6" w:space="0" w:color="D6D6D6"/>
                    <w:bottom w:val="single" w:sz="6" w:space="0" w:color="D6D6D6"/>
                    <w:right w:val="single" w:sz="6" w:space="0" w:color="D6D6D6"/>
                  </w:divBdr>
                  <w:divsChild>
                    <w:div w:id="444154432">
                      <w:marLeft w:val="0"/>
                      <w:marRight w:val="0"/>
                      <w:marTop w:val="0"/>
                      <w:marBottom w:val="0"/>
                      <w:divBdr>
                        <w:top w:val="single" w:sz="6" w:space="12" w:color="FFFFFF"/>
                        <w:left w:val="single" w:sz="6" w:space="12" w:color="FFFFFF"/>
                        <w:bottom w:val="single" w:sz="6" w:space="12" w:color="FFFFFF"/>
                        <w:right w:val="single" w:sz="6" w:space="12" w:color="FFFFFF"/>
                      </w:divBdr>
                    </w:div>
                  </w:divsChild>
                </w:div>
                <w:div w:id="986319221">
                  <w:marLeft w:val="0"/>
                  <w:marRight w:val="0"/>
                  <w:marTop w:val="0"/>
                  <w:marBottom w:val="360"/>
                  <w:divBdr>
                    <w:top w:val="none" w:sz="0" w:space="0" w:color="auto"/>
                    <w:left w:val="none" w:sz="0" w:space="0" w:color="auto"/>
                    <w:bottom w:val="none" w:sz="0" w:space="0" w:color="auto"/>
                    <w:right w:val="none" w:sz="0" w:space="0" w:color="auto"/>
                  </w:divBdr>
                  <w:divsChild>
                    <w:div w:id="710610514">
                      <w:marLeft w:val="0"/>
                      <w:marRight w:val="0"/>
                      <w:marTop w:val="0"/>
                      <w:marBottom w:val="0"/>
                      <w:divBdr>
                        <w:top w:val="none" w:sz="0" w:space="0" w:color="auto"/>
                        <w:left w:val="none" w:sz="0" w:space="0" w:color="auto"/>
                        <w:bottom w:val="none" w:sz="0" w:space="0" w:color="auto"/>
                        <w:right w:val="none" w:sz="0" w:space="0" w:color="auto"/>
                      </w:divBdr>
                    </w:div>
                    <w:div w:id="2027292771">
                      <w:marLeft w:val="0"/>
                      <w:marRight w:val="0"/>
                      <w:marTop w:val="0"/>
                      <w:marBottom w:val="0"/>
                      <w:divBdr>
                        <w:top w:val="none" w:sz="0" w:space="0" w:color="auto"/>
                        <w:left w:val="none" w:sz="0" w:space="0" w:color="auto"/>
                        <w:bottom w:val="none" w:sz="0" w:space="0" w:color="auto"/>
                        <w:right w:val="none" w:sz="0" w:space="0" w:color="auto"/>
                      </w:divBdr>
                      <w:divsChild>
                        <w:div w:id="1122925006">
                          <w:marLeft w:val="0"/>
                          <w:marRight w:val="0"/>
                          <w:marTop w:val="0"/>
                          <w:marBottom w:val="0"/>
                          <w:divBdr>
                            <w:top w:val="none" w:sz="0" w:space="0" w:color="auto"/>
                            <w:left w:val="none" w:sz="0" w:space="0" w:color="auto"/>
                            <w:bottom w:val="none" w:sz="0" w:space="0" w:color="auto"/>
                            <w:right w:val="none" w:sz="0" w:space="0" w:color="auto"/>
                          </w:divBdr>
                          <w:divsChild>
                            <w:div w:id="1493719512">
                              <w:marLeft w:val="0"/>
                              <w:marRight w:val="0"/>
                              <w:marTop w:val="0"/>
                              <w:marBottom w:val="0"/>
                              <w:divBdr>
                                <w:top w:val="single" w:sz="6" w:space="11" w:color="CCCCCC"/>
                                <w:left w:val="none" w:sz="0" w:space="0" w:color="auto"/>
                                <w:bottom w:val="single" w:sz="6" w:space="11" w:color="CCCCCC"/>
                                <w:right w:val="none" w:sz="0" w:space="0" w:color="auto"/>
                              </w:divBdr>
                              <w:divsChild>
                                <w:div w:id="1370062199">
                                  <w:marLeft w:val="0"/>
                                  <w:marRight w:val="0"/>
                                  <w:marTop w:val="0"/>
                                  <w:marBottom w:val="0"/>
                                  <w:divBdr>
                                    <w:top w:val="none" w:sz="0" w:space="0" w:color="auto"/>
                                    <w:left w:val="none" w:sz="0" w:space="0" w:color="auto"/>
                                    <w:bottom w:val="none" w:sz="0" w:space="0" w:color="auto"/>
                                    <w:right w:val="none" w:sz="0" w:space="0" w:color="auto"/>
                                  </w:divBdr>
                                  <w:divsChild>
                                    <w:div w:id="17815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23970">
                              <w:marLeft w:val="0"/>
                              <w:marRight w:val="0"/>
                              <w:marTop w:val="0"/>
                              <w:marBottom w:val="0"/>
                              <w:divBdr>
                                <w:top w:val="none" w:sz="0" w:space="11" w:color="auto"/>
                                <w:left w:val="none" w:sz="0" w:space="0" w:color="auto"/>
                                <w:bottom w:val="single" w:sz="6" w:space="11" w:color="CCCCCC"/>
                                <w:right w:val="none" w:sz="0" w:space="0" w:color="auto"/>
                              </w:divBdr>
                              <w:divsChild>
                                <w:div w:id="1512529094">
                                  <w:marLeft w:val="0"/>
                                  <w:marRight w:val="0"/>
                                  <w:marTop w:val="0"/>
                                  <w:marBottom w:val="0"/>
                                  <w:divBdr>
                                    <w:top w:val="none" w:sz="0" w:space="0" w:color="auto"/>
                                    <w:left w:val="none" w:sz="0" w:space="0" w:color="auto"/>
                                    <w:bottom w:val="none" w:sz="0" w:space="0" w:color="auto"/>
                                    <w:right w:val="none" w:sz="0" w:space="0" w:color="auto"/>
                                  </w:divBdr>
                                  <w:divsChild>
                                    <w:div w:id="39046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34480">
                              <w:marLeft w:val="0"/>
                              <w:marRight w:val="0"/>
                              <w:marTop w:val="0"/>
                              <w:marBottom w:val="0"/>
                              <w:divBdr>
                                <w:top w:val="none" w:sz="0" w:space="11" w:color="auto"/>
                                <w:left w:val="none" w:sz="0" w:space="0" w:color="auto"/>
                                <w:bottom w:val="single" w:sz="6" w:space="11" w:color="CCCCCC"/>
                                <w:right w:val="none" w:sz="0" w:space="0" w:color="auto"/>
                              </w:divBdr>
                              <w:divsChild>
                                <w:div w:id="1939673488">
                                  <w:marLeft w:val="0"/>
                                  <w:marRight w:val="0"/>
                                  <w:marTop w:val="0"/>
                                  <w:marBottom w:val="0"/>
                                  <w:divBdr>
                                    <w:top w:val="none" w:sz="0" w:space="0" w:color="auto"/>
                                    <w:left w:val="none" w:sz="0" w:space="0" w:color="auto"/>
                                    <w:bottom w:val="none" w:sz="0" w:space="0" w:color="auto"/>
                                    <w:right w:val="none" w:sz="0" w:space="0" w:color="auto"/>
                                  </w:divBdr>
                                  <w:divsChild>
                                    <w:div w:id="7996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752352">
              <w:marLeft w:val="0"/>
              <w:marRight w:val="0"/>
              <w:marTop w:val="0"/>
              <w:marBottom w:val="525"/>
              <w:divBdr>
                <w:top w:val="none" w:sz="0" w:space="0" w:color="auto"/>
                <w:left w:val="none" w:sz="0" w:space="0" w:color="auto"/>
                <w:bottom w:val="none" w:sz="0" w:space="0" w:color="auto"/>
                <w:right w:val="none" w:sz="0" w:space="0" w:color="auto"/>
              </w:divBdr>
              <w:divsChild>
                <w:div w:id="2095130722">
                  <w:marLeft w:val="0"/>
                  <w:marRight w:val="0"/>
                  <w:marTop w:val="0"/>
                  <w:marBottom w:val="0"/>
                  <w:divBdr>
                    <w:top w:val="none" w:sz="0" w:space="0" w:color="auto"/>
                    <w:left w:val="none" w:sz="0" w:space="0" w:color="auto"/>
                    <w:bottom w:val="none" w:sz="0" w:space="0" w:color="auto"/>
                    <w:right w:val="none" w:sz="0" w:space="0" w:color="auto"/>
                  </w:divBdr>
                </w:div>
              </w:divsChild>
            </w:div>
            <w:div w:id="957640914">
              <w:marLeft w:val="0"/>
              <w:marRight w:val="0"/>
              <w:marTop w:val="0"/>
              <w:marBottom w:val="525"/>
              <w:divBdr>
                <w:top w:val="none" w:sz="0" w:space="0" w:color="auto"/>
                <w:left w:val="none" w:sz="0" w:space="0" w:color="auto"/>
                <w:bottom w:val="none" w:sz="0" w:space="0" w:color="auto"/>
                <w:right w:val="none" w:sz="0" w:space="0" w:color="auto"/>
              </w:divBdr>
              <w:divsChild>
                <w:div w:id="203209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30016">
          <w:marLeft w:val="0"/>
          <w:marRight w:val="0"/>
          <w:marTop w:val="0"/>
          <w:marBottom w:val="0"/>
          <w:divBdr>
            <w:top w:val="none" w:sz="0" w:space="0" w:color="auto"/>
            <w:left w:val="none" w:sz="0" w:space="0" w:color="auto"/>
            <w:bottom w:val="none" w:sz="0" w:space="0" w:color="auto"/>
            <w:right w:val="none" w:sz="0" w:space="0" w:color="auto"/>
          </w:divBdr>
          <w:divsChild>
            <w:div w:id="5496526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3894524">
      <w:bodyDiv w:val="1"/>
      <w:marLeft w:val="0"/>
      <w:marRight w:val="0"/>
      <w:marTop w:val="0"/>
      <w:marBottom w:val="0"/>
      <w:divBdr>
        <w:top w:val="none" w:sz="0" w:space="0" w:color="auto"/>
        <w:left w:val="none" w:sz="0" w:space="0" w:color="auto"/>
        <w:bottom w:val="none" w:sz="0" w:space="0" w:color="auto"/>
        <w:right w:val="none" w:sz="0" w:space="0" w:color="auto"/>
      </w:divBdr>
    </w:div>
    <w:div w:id="1822652108">
      <w:bodyDiv w:val="1"/>
      <w:marLeft w:val="0"/>
      <w:marRight w:val="0"/>
      <w:marTop w:val="0"/>
      <w:marBottom w:val="0"/>
      <w:divBdr>
        <w:top w:val="none" w:sz="0" w:space="0" w:color="auto"/>
        <w:left w:val="none" w:sz="0" w:space="0" w:color="auto"/>
        <w:bottom w:val="none" w:sz="0" w:space="0" w:color="auto"/>
        <w:right w:val="none" w:sz="0" w:space="0" w:color="auto"/>
      </w:divBdr>
    </w:div>
    <w:div w:id="1835298316">
      <w:bodyDiv w:val="1"/>
      <w:marLeft w:val="0"/>
      <w:marRight w:val="0"/>
      <w:marTop w:val="0"/>
      <w:marBottom w:val="0"/>
      <w:divBdr>
        <w:top w:val="none" w:sz="0" w:space="0" w:color="auto"/>
        <w:left w:val="none" w:sz="0" w:space="0" w:color="auto"/>
        <w:bottom w:val="none" w:sz="0" w:space="0" w:color="auto"/>
        <w:right w:val="none" w:sz="0" w:space="0" w:color="auto"/>
      </w:divBdr>
    </w:div>
    <w:div w:id="200331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7D0AB-7981-4162-9B03-7CD0F6256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887</Words>
  <Characters>5327</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Sadecka</dc:creator>
  <cp:keywords/>
  <dc:description/>
  <cp:lastModifiedBy>Ewa  Rak</cp:lastModifiedBy>
  <cp:revision>2</cp:revision>
  <dcterms:created xsi:type="dcterms:W3CDTF">2023-10-10T07:36:00Z</dcterms:created>
  <dcterms:modified xsi:type="dcterms:W3CDTF">2023-10-10T07:36:00Z</dcterms:modified>
</cp:coreProperties>
</file>